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4"/>
        </w:rPr>
      </w:pPr>
      <w:r>
        <w:rPr>
          <w:rFonts w:cs="Times New Roman" w:ascii="Times New Roman" w:hAnsi="Times New Roman"/>
          <w:b/>
          <w:sz w:val="28"/>
          <w:szCs w:val="24"/>
        </w:rPr>
        <w:t>Інформація про основну діяльність підприємства</w:t>
      </w:r>
    </w:p>
    <w:p>
      <w:pPr>
        <w:pStyle w:val="Standard"/>
        <w:tabs>
          <w:tab w:val="left" w:pos="709" w:leader="none"/>
        </w:tabs>
        <w:spacing w:lineRule="auto" w:line="235"/>
        <w:jc w:val="both"/>
        <w:rPr/>
      </w:pPr>
      <w:r>
        <w:rPr/>
      </w:r>
    </w:p>
    <w:p>
      <w:pPr>
        <w:pStyle w:val="Standard"/>
        <w:tabs>
          <w:tab w:val="left" w:pos="709" w:leader="none"/>
        </w:tabs>
        <w:spacing w:lineRule="auto" w:line="235"/>
        <w:ind w:firstLine="709"/>
        <w:jc w:val="both"/>
        <w:rPr/>
      </w:pPr>
      <w:r>
        <w:rPr>
          <w:rFonts w:cs="Times New Roman" w:ascii="Times New Roman" w:hAnsi="Times New Roman"/>
          <w:sz w:val="28"/>
          <w:szCs w:val="28"/>
        </w:rPr>
        <w:t>Предметом господарської діяльності Підприємства для реалізації зазначеної мети є:</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налагодження співпраці із засобами масової інформації, сприяння роботі представників засобів масової інформації щодо висвітлення діяльності Дніпровської міської ради, її виконавчих органів, комунальних підприємств, посадових осіб органів місцевого самоврядування та комунальних підприємств, депутатського корпусу, їх окремих ініціатив та проектів;</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практична реалізація державної політики та ініціатив органів місцевого самоврядування у сфері роботи з інститутами громадянського суспільства та забезпечення ефективної взаємодії міської ради з громадськістю;</w:t>
      </w:r>
    </w:p>
    <w:p>
      <w:pPr>
        <w:pStyle w:val="21"/>
        <w:numPr>
          <w:ilvl w:val="0"/>
          <w:numId w:val="2"/>
        </w:numPr>
        <w:shd w:val="clear" w:color="auto" w:fill="auto"/>
        <w:tabs>
          <w:tab w:val="left" w:pos="709" w:leader="none"/>
        </w:tabs>
        <w:suppressAutoHyphens w:val="true"/>
        <w:spacing w:lineRule="auto" w:line="235" w:before="0" w:after="0"/>
        <w:rPr/>
      </w:pPr>
      <w:r>
        <w:rPr>
          <w:color w:val="00000A"/>
          <w:sz w:val="28"/>
          <w:szCs w:val="28"/>
        </w:rPr>
        <w:t>розробка загальної стратегії інформаційної політики Дніпровської міської ради, коригування її відповідно до актуальних проблем;</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 xml:space="preserve">наповнення власним або виробленим на замовлення контентом офіційного  </w:t>
      </w:r>
      <w:r>
        <w:rPr>
          <w:color w:val="00000A"/>
          <w:sz w:val="28"/>
          <w:szCs w:val="28"/>
        </w:rPr>
        <w:t>веб-сайту</w:t>
      </w:r>
      <w:r>
        <w:rPr>
          <w:color w:val="00000A"/>
          <w:sz w:val="28"/>
          <w:szCs w:val="28"/>
        </w:rPr>
        <w:t xml:space="preserve"> Дніпровської міської ради у взаємодії з управлінням інформаційних технологій Дніпровської міської ради;</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sz w:val="28"/>
          <w:szCs w:val="28"/>
        </w:rPr>
        <w:t>розроблення та запровадження комплексної системи моніторингу</w:t>
      </w:r>
      <w:r>
        <w:rPr>
          <w:color w:val="00000A"/>
          <w:sz w:val="28"/>
          <w:szCs w:val="28"/>
        </w:rPr>
        <w:t xml:space="preserve"> та аналізу інформації про суспільно-політичний стан у місті, розробка пропозицій з цих питань;</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прогнозування актуальних суспільно-політичних процесів у місті Дніпро;</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sz w:val="28"/>
          <w:szCs w:val="28"/>
        </w:rPr>
        <w:t>проведення соціологічних досліджень та спостережень (опитування, анкетування, контент-аналіз інформаційних матеріалів, фокус-групи тощо), запровадження телефонного та он-лайн опитувань громадян у мережі Інтернет;</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sz w:val="28"/>
          <w:szCs w:val="28"/>
        </w:rPr>
        <w:t xml:space="preserve">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зацікавлених сторін щодо </w:t>
      </w:r>
      <w:r>
        <w:rPr>
          <w:color w:val="00000A"/>
          <w:sz w:val="28"/>
          <w:szCs w:val="28"/>
        </w:rPr>
        <w:t>діяльності Дніпровської міської ради, її виконавчих органів, комунальних підприємств, посадових осіб органів місцевого самоврядування та комунальних підприємств, депутатського корпусу, їх окремих ініціатив та проектів</w:t>
      </w:r>
      <w:r>
        <w:rPr>
          <w:sz w:val="28"/>
          <w:szCs w:val="28"/>
        </w:rPr>
        <w:t>;</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sz w:val="28"/>
          <w:szCs w:val="28"/>
        </w:rPr>
        <w:t xml:space="preserve">опрацювання та узагальнення висловлених під час публічних обговорень та у зверненнях громадян пропозицій та зауважень з </w:t>
      </w:r>
      <w:r>
        <w:rPr>
          <w:color w:val="00000A"/>
          <w:sz w:val="28"/>
          <w:szCs w:val="28"/>
        </w:rPr>
        <w:t xml:space="preserve">актуальних питань життя міста; </w:t>
      </w:r>
    </w:p>
    <w:p>
      <w:pPr>
        <w:pStyle w:val="1"/>
        <w:numPr>
          <w:ilvl w:val="0"/>
          <w:numId w:val="2"/>
        </w:numPr>
        <w:tabs>
          <w:tab w:val="left" w:pos="709" w:leader="none"/>
        </w:tabs>
        <w:suppressAutoHyphens w:val="false"/>
        <w:spacing w:lineRule="auto" w:line="235" w:before="0" w:after="0"/>
        <w:contextualSpacing/>
        <w:jc w:val="both"/>
        <w:textAlignment w:val="auto"/>
        <w:rPr/>
      </w:pPr>
      <w:r>
        <w:rPr>
          <w:rFonts w:cs="Times New Roman" w:ascii="Times New Roman" w:hAnsi="Times New Roman"/>
          <w:sz w:val="28"/>
          <w:szCs w:val="28"/>
        </w:rPr>
        <w:t>налагодження ефективної</w:t>
      </w:r>
      <w:r>
        <w:rPr>
          <w:rStyle w:val="Appleconvertedspace"/>
          <w:rFonts w:ascii="Times New Roman" w:hAnsi="Times New Roman"/>
          <w:sz w:val="28"/>
          <w:szCs w:val="28"/>
        </w:rPr>
        <w:t xml:space="preserve"> </w:t>
      </w:r>
      <w:r>
        <w:rPr>
          <w:rFonts w:cs="Times New Roman" w:ascii="Times New Roman" w:hAnsi="Times New Roman"/>
          <w:sz w:val="28"/>
          <w:szCs w:val="28"/>
        </w:rPr>
        <w:t>системи інформування</w:t>
      </w:r>
      <w:r>
        <w:rPr>
          <w:rStyle w:val="Appleconvertedspace"/>
          <w:rFonts w:ascii="Times New Roman" w:hAnsi="Times New Roman"/>
          <w:sz w:val="28"/>
          <w:szCs w:val="28"/>
        </w:rPr>
        <w:t xml:space="preserve"> </w:t>
      </w:r>
      <w:r>
        <w:rPr>
          <w:rFonts w:cs="Times New Roman" w:ascii="Times New Roman" w:hAnsi="Times New Roman"/>
          <w:sz w:val="28"/>
          <w:szCs w:val="28"/>
        </w:rPr>
        <w:t>громадян</w:t>
      </w:r>
      <w:r>
        <w:rPr>
          <w:rStyle w:val="Appleconvertedspace"/>
          <w:rFonts w:ascii="Times New Roman" w:hAnsi="Times New Roman"/>
          <w:sz w:val="28"/>
          <w:szCs w:val="28"/>
        </w:rPr>
        <w:t xml:space="preserve"> </w:t>
      </w:r>
      <w:r>
        <w:rPr>
          <w:rFonts w:cs="Times New Roman" w:ascii="Times New Roman" w:hAnsi="Times New Roman"/>
          <w:sz w:val="28"/>
          <w:szCs w:val="28"/>
        </w:rPr>
        <w:t>про роботу</w:t>
      </w:r>
      <w:r>
        <w:rPr>
          <w:rStyle w:val="Appleconvertedspace"/>
          <w:rFonts w:ascii="Times New Roman" w:hAnsi="Times New Roman"/>
          <w:sz w:val="28"/>
          <w:szCs w:val="28"/>
        </w:rPr>
        <w:t xml:space="preserve"> </w:t>
      </w:r>
      <w:r>
        <w:rPr>
          <w:rFonts w:cs="Times New Roman" w:ascii="Times New Roman" w:hAnsi="Times New Roman"/>
          <w:sz w:val="28"/>
          <w:szCs w:val="28"/>
        </w:rPr>
        <w:t>Дніпровської міської ради, її виконавчих органів, комунальних підприємств, посадових осіб органів місцевого самоврядування та комунальних підприємств, депутатського корпусу, їх окремих ініціатив та проектів, а також систему ефективного оперативного реагування на випадки порушення прав громадян міста («гарячі лінії», кол-центри, консультаційні пункти, громадські приймальні, веб-сайти установ, закладів комунальних підприємств Дніпровської міської ради, депутатського корпусу та інститутів громадянського суспільства тощо);</w:t>
      </w:r>
    </w:p>
    <w:p>
      <w:pPr>
        <w:pStyle w:val="1"/>
        <w:numPr>
          <w:ilvl w:val="0"/>
          <w:numId w:val="2"/>
        </w:numPr>
        <w:tabs>
          <w:tab w:val="left" w:pos="709" w:leader="none"/>
        </w:tabs>
        <w:suppressAutoHyphens w:val="false"/>
        <w:spacing w:lineRule="auto" w:line="235" w:before="0" w:after="0"/>
        <w:contextualSpacing/>
        <w:jc w:val="both"/>
        <w:textAlignment w:val="auto"/>
        <w:rPr/>
      </w:pPr>
      <w:r>
        <w:rPr>
          <w:rFonts w:cs="Times New Roman" w:ascii="Times New Roman" w:hAnsi="Times New Roman"/>
          <w:sz w:val="28"/>
          <w:szCs w:val="28"/>
        </w:rPr>
        <w:t>здійснення постійного</w:t>
      </w:r>
      <w:r>
        <w:rPr/>
        <w:t xml:space="preserve"> </w:t>
      </w:r>
      <w:r>
        <w:rPr>
          <w:rFonts w:cs="Times New Roman" w:ascii="Times New Roman" w:hAnsi="Times New Roman"/>
          <w:sz w:val="28"/>
          <w:szCs w:val="28"/>
        </w:rPr>
        <w:t>діалогу</w:t>
      </w:r>
      <w:r>
        <w:rPr/>
        <w:t xml:space="preserve"> </w:t>
      </w:r>
      <w:r>
        <w:rPr>
          <w:rFonts w:cs="Times New Roman" w:ascii="Times New Roman" w:hAnsi="Times New Roman"/>
          <w:sz w:val="28"/>
          <w:szCs w:val="28"/>
        </w:rPr>
        <w:t>з</w:t>
      </w:r>
      <w:r>
        <w:rPr/>
        <w:t xml:space="preserve"> </w:t>
      </w:r>
      <w:r>
        <w:rPr>
          <w:rFonts w:cs="Times New Roman" w:ascii="Times New Roman" w:hAnsi="Times New Roman"/>
          <w:sz w:val="28"/>
          <w:szCs w:val="28"/>
        </w:rPr>
        <w:t>метою</w:t>
      </w:r>
      <w:r>
        <w:rPr/>
        <w:t xml:space="preserve"> </w:t>
      </w:r>
      <w:r>
        <w:rPr>
          <w:rFonts w:cs="Times New Roman" w:ascii="Times New Roman" w:hAnsi="Times New Roman"/>
          <w:sz w:val="28"/>
          <w:szCs w:val="28"/>
        </w:rPr>
        <w:t>залучення</w:t>
      </w:r>
      <w:r>
        <w:rPr/>
        <w:t xml:space="preserve"> </w:t>
      </w:r>
      <w:r>
        <w:rPr>
          <w:rFonts w:cs="Times New Roman" w:ascii="Times New Roman" w:hAnsi="Times New Roman"/>
          <w:sz w:val="28"/>
          <w:szCs w:val="28"/>
        </w:rPr>
        <w:t>широких</w:t>
      </w:r>
      <w:r>
        <w:rPr/>
        <w:t xml:space="preserve"> </w:t>
      </w:r>
      <w:r>
        <w:rPr>
          <w:rFonts w:cs="Times New Roman" w:ascii="Times New Roman" w:hAnsi="Times New Roman"/>
          <w:sz w:val="28"/>
          <w:szCs w:val="28"/>
        </w:rPr>
        <w:t>верств</w:t>
      </w:r>
      <w:r>
        <w:rPr/>
        <w:t xml:space="preserve"> </w:t>
      </w:r>
      <w:r>
        <w:rPr>
          <w:rFonts w:cs="Times New Roman" w:ascii="Times New Roman" w:hAnsi="Times New Roman"/>
          <w:sz w:val="28"/>
          <w:szCs w:val="28"/>
        </w:rPr>
        <w:t>населення до</w:t>
      </w:r>
      <w:r>
        <w:rPr/>
        <w:t xml:space="preserve"> </w:t>
      </w:r>
      <w:r>
        <w:rPr>
          <w:rFonts w:cs="Times New Roman" w:ascii="Times New Roman" w:hAnsi="Times New Roman"/>
          <w:sz w:val="28"/>
          <w:szCs w:val="28"/>
        </w:rPr>
        <w:t>обговорення</w:t>
      </w:r>
      <w:r>
        <w:rPr/>
        <w:t xml:space="preserve"> </w:t>
      </w:r>
      <w:r>
        <w:rPr>
          <w:rFonts w:cs="Times New Roman" w:ascii="Times New Roman" w:hAnsi="Times New Roman"/>
          <w:sz w:val="28"/>
          <w:szCs w:val="28"/>
        </w:rPr>
        <w:t>та</w:t>
      </w:r>
      <w:r>
        <w:rPr/>
        <w:t xml:space="preserve"> </w:t>
      </w:r>
      <w:r>
        <w:rPr>
          <w:rFonts w:cs="Times New Roman" w:ascii="Times New Roman" w:hAnsi="Times New Roman"/>
          <w:sz w:val="28"/>
          <w:szCs w:val="28"/>
        </w:rPr>
        <w:t>участі</w:t>
      </w:r>
      <w:r>
        <w:rPr/>
        <w:t xml:space="preserve"> </w:t>
      </w:r>
      <w:r>
        <w:rPr>
          <w:rFonts w:cs="Times New Roman" w:ascii="Times New Roman" w:hAnsi="Times New Roman"/>
          <w:sz w:val="28"/>
          <w:szCs w:val="28"/>
        </w:rPr>
        <w:t>у</w:t>
      </w:r>
      <w:r>
        <w:rPr/>
        <w:t xml:space="preserve"> </w:t>
      </w:r>
      <w:r>
        <w:rPr>
          <w:rFonts w:cs="Times New Roman" w:ascii="Times New Roman" w:hAnsi="Times New Roman"/>
          <w:sz w:val="28"/>
          <w:szCs w:val="28"/>
        </w:rPr>
        <w:t>вирішенні</w:t>
      </w:r>
      <w:r>
        <w:rPr/>
        <w:t xml:space="preserve"> </w:t>
      </w:r>
      <w:r>
        <w:rPr>
          <w:rFonts w:cs="Times New Roman" w:ascii="Times New Roman" w:hAnsi="Times New Roman"/>
          <w:sz w:val="28"/>
          <w:szCs w:val="28"/>
        </w:rPr>
        <w:t>проблем</w:t>
      </w:r>
      <w:r>
        <w:rPr/>
        <w:t xml:space="preserve"> </w:t>
      </w:r>
      <w:r>
        <w:rPr>
          <w:rFonts w:cs="Times New Roman" w:ascii="Times New Roman" w:hAnsi="Times New Roman"/>
          <w:sz w:val="28"/>
          <w:szCs w:val="28"/>
        </w:rPr>
        <w:t>міста, підтримка діяльності органів самоорганізації населення, освітніх проектів відповідних напрямків («університети третього віку» тощо), організація проведення широкої роз’яснювальної роботи щодо:</w:t>
      </w:r>
    </w:p>
    <w:p>
      <w:pPr>
        <w:pStyle w:val="Normal"/>
        <w:shd w:val="clear" w:color="auto" w:fill="FFFFFF"/>
        <w:spacing w:lineRule="auto" w:line="235" w:before="0" w:after="0"/>
        <w:ind w:left="1418" w:right="99" w:hanging="0"/>
        <w:jc w:val="both"/>
        <w:rPr/>
      </w:pPr>
      <w:r>
        <w:rPr>
          <w:rFonts w:cs="Times New Roman" w:ascii="Times New Roman" w:hAnsi="Times New Roman"/>
          <w:spacing w:val="-2"/>
          <w:sz w:val="28"/>
          <w:szCs w:val="28"/>
        </w:rPr>
        <w:t>- надання населенню житлових субсидій, зокрема, перед початком опалювального періоду;</w:t>
      </w:r>
    </w:p>
    <w:p>
      <w:pPr>
        <w:pStyle w:val="Normal"/>
        <w:shd w:val="clear" w:color="auto" w:fill="FFFFFF"/>
        <w:spacing w:lineRule="auto" w:line="235" w:before="0" w:after="0"/>
        <w:ind w:left="1418" w:right="99" w:hanging="0"/>
        <w:jc w:val="both"/>
        <w:rPr/>
      </w:pPr>
      <w:r>
        <w:rPr>
          <w:rFonts w:cs="Times New Roman" w:ascii="Times New Roman" w:hAnsi="Times New Roman"/>
          <w:spacing w:val="-2"/>
          <w:sz w:val="28"/>
          <w:szCs w:val="28"/>
        </w:rPr>
        <w:t>- порядку отримання та контролю за послугами у житлово-комунальній сфері;</w:t>
      </w:r>
    </w:p>
    <w:p>
      <w:pPr>
        <w:pStyle w:val="Normal"/>
        <w:shd w:val="clear" w:color="auto" w:fill="FFFFFF"/>
        <w:spacing w:lineRule="auto" w:line="235" w:before="0" w:after="0"/>
        <w:ind w:left="1418" w:right="99" w:hanging="0"/>
        <w:jc w:val="both"/>
        <w:rPr/>
      </w:pPr>
      <w:r>
        <w:rPr>
          <w:rFonts w:cs="Times New Roman" w:ascii="Times New Roman" w:hAnsi="Times New Roman"/>
          <w:spacing w:val="-2"/>
          <w:sz w:val="28"/>
          <w:szCs w:val="28"/>
        </w:rPr>
        <w:t>-</w:t>
      </w:r>
      <w:r>
        <w:rPr>
          <w:rStyle w:val="Appleconvertedspace"/>
          <w:rFonts w:ascii="Times New Roman" w:hAnsi="Times New Roman"/>
          <w:spacing w:val="-2"/>
          <w:sz w:val="28"/>
          <w:szCs w:val="28"/>
        </w:rPr>
        <w:t xml:space="preserve"> </w:t>
      </w:r>
      <w:r>
        <w:rPr>
          <w:rFonts w:cs="Times New Roman" w:ascii="Times New Roman" w:hAnsi="Times New Roman"/>
          <w:sz w:val="28"/>
          <w:szCs w:val="28"/>
        </w:rPr>
        <w:t>надання допомоги сім’ям з дітьми, малозабезпеченим сім’ям, інвалідам з дитинства, дітям-інвалідам та тимчасової державної допомоги дітям тощо;</w:t>
      </w:r>
    </w:p>
    <w:p>
      <w:pPr>
        <w:pStyle w:val="ListParagraph"/>
        <w:numPr>
          <w:ilvl w:val="0"/>
          <w:numId w:val="1"/>
        </w:numPr>
        <w:shd w:val="clear" w:color="auto" w:fill="FFFFFF"/>
        <w:spacing w:lineRule="auto" w:line="235" w:before="0" w:after="0"/>
        <w:ind w:left="720" w:right="99" w:hanging="360"/>
        <w:jc w:val="both"/>
        <w:rPr>
          <w:rFonts w:ascii="Times New Roman" w:hAnsi="Times New Roman" w:eastAsia="Times New Roman" w:cs="Times New Roman"/>
          <w:sz w:val="28"/>
          <w:szCs w:val="28"/>
          <w:lang w:eastAsia="zh-CN" w:bidi="hi-IN"/>
        </w:rPr>
      </w:pPr>
      <w:r>
        <w:rPr>
          <w:rFonts w:eastAsia="Times New Roman" w:cs="Times New Roman" w:ascii="Times New Roman" w:hAnsi="Times New Roman"/>
          <w:sz w:val="28"/>
          <w:szCs w:val="28"/>
          <w:lang w:eastAsia="zh-CN" w:bidi="hi-IN"/>
        </w:rPr>
        <w:t>проведення регулярних консультацій (діалогу) із громадськістю з найважливіших питань життя суспільства і міста;</w:t>
      </w:r>
    </w:p>
    <w:p>
      <w:pPr>
        <w:pStyle w:val="ListParagraph"/>
        <w:numPr>
          <w:ilvl w:val="0"/>
          <w:numId w:val="1"/>
        </w:numPr>
        <w:shd w:val="clear" w:color="auto" w:fill="FFFFFF"/>
        <w:spacing w:lineRule="auto" w:line="235" w:before="0" w:after="0"/>
        <w:ind w:left="720" w:right="99" w:hanging="360"/>
        <w:jc w:val="both"/>
        <w:rPr>
          <w:rFonts w:ascii="Times New Roman" w:hAnsi="Times New Roman" w:eastAsia="Times New Roman" w:cs="Times New Roman"/>
          <w:sz w:val="28"/>
          <w:szCs w:val="28"/>
          <w:lang w:eastAsia="zh-CN" w:bidi="hi-IN"/>
        </w:rPr>
      </w:pPr>
      <w:r>
        <w:rPr>
          <w:rFonts w:cs="Times New Roman" w:ascii="Times New Roman" w:hAnsi="Times New Roman"/>
          <w:sz w:val="28"/>
          <w:szCs w:val="28"/>
        </w:rPr>
        <w:t>забезпечення умов для активізації участі громадян у процесі підготовки та прийняття управлінських рішень, здійснення ефективного громадського контролю за діяльністю органів виконавчої влади та органів місцевого самоврядування, зокрема, щодо запобігання та протидії корупції, підвищення прозорості діяльності цих органів відповідно до чинного законодавства України;</w:t>
      </w:r>
    </w:p>
    <w:p>
      <w:pPr>
        <w:pStyle w:val="Rvps2"/>
        <w:numPr>
          <w:ilvl w:val="0"/>
          <w:numId w:val="1"/>
        </w:numPr>
        <w:shd w:val="clear" w:color="auto" w:fill="FFFFFF"/>
        <w:tabs>
          <w:tab w:val="left" w:pos="709" w:leader="none"/>
        </w:tabs>
        <w:spacing w:lineRule="auto" w:line="235" w:before="0" w:after="0"/>
        <w:jc w:val="both"/>
        <w:textAlignment w:val="baseline"/>
        <w:rPr>
          <w:lang w:val="uk-UA"/>
        </w:rPr>
      </w:pPr>
      <w:r>
        <w:rPr>
          <w:color w:val="000000"/>
          <w:sz w:val="28"/>
          <w:szCs w:val="28"/>
          <w:lang w:val="uk-UA"/>
        </w:rPr>
        <w:t>налагодження ефективної взаємодії інститутів громадянського суспільства з органами виконавчої влади та органами місцевого самоврядування у місті</w:t>
      </w:r>
      <w:bookmarkStart w:id="0" w:name="n61"/>
      <w:bookmarkEnd w:id="0"/>
      <w:r>
        <w:rPr>
          <w:color w:val="000000"/>
          <w:sz w:val="28"/>
          <w:szCs w:val="28"/>
          <w:lang w:val="uk-UA"/>
        </w:rPr>
        <w:t>, забезпечення участі громадянського суспільства та його інститутів у процесах формування і реалізації державної, регіональної та місцевої політики;</w:t>
      </w:r>
    </w:p>
    <w:p>
      <w:pPr>
        <w:pStyle w:val="Rvps2"/>
        <w:numPr>
          <w:ilvl w:val="0"/>
          <w:numId w:val="1"/>
        </w:numPr>
        <w:shd w:val="clear" w:color="auto" w:fill="FFFFFF"/>
        <w:tabs>
          <w:tab w:val="left" w:pos="709" w:leader="none"/>
        </w:tabs>
        <w:spacing w:lineRule="auto" w:line="235" w:before="0" w:after="0"/>
        <w:jc w:val="both"/>
        <w:textAlignment w:val="baseline"/>
        <w:rPr>
          <w:lang w:val="uk-UA"/>
        </w:rPr>
      </w:pPr>
      <w:bookmarkStart w:id="1" w:name="n31"/>
      <w:bookmarkEnd w:id="1"/>
      <w:r>
        <w:rPr>
          <w:color w:val="000000"/>
          <w:sz w:val="28"/>
          <w:szCs w:val="28"/>
          <w:lang w:val="uk-UA"/>
        </w:rPr>
        <w:t>сприяння роботі громадських рад та інших консультативно-дорадчих органів при органах виконавчої влади та органах місцевого самоврядування, удосконалення механізмів їх взаємодії з консультативно-дорадчими органами, зокрема, шляхом розроблення пропозицій щодо внесення змін до  чинних регламентів органів виконавчої влади та місцевого самоврядування;</w:t>
      </w:r>
    </w:p>
    <w:p>
      <w:pPr>
        <w:pStyle w:val="Rvps2"/>
        <w:numPr>
          <w:ilvl w:val="0"/>
          <w:numId w:val="1"/>
        </w:numPr>
        <w:shd w:val="clear" w:color="auto" w:fill="FFFFFF"/>
        <w:tabs>
          <w:tab w:val="left" w:pos="709" w:leader="none"/>
        </w:tabs>
        <w:spacing w:lineRule="auto" w:line="235" w:before="0" w:after="0"/>
        <w:jc w:val="both"/>
        <w:textAlignment w:val="baseline"/>
        <w:rPr/>
      </w:pPr>
      <w:r>
        <w:rPr>
          <w:color w:val="000000"/>
          <w:sz w:val="28"/>
          <w:szCs w:val="28"/>
          <w:lang w:val="uk-UA"/>
        </w:rPr>
        <w:t>сприяння посиленню впливу інститутів громадянського суспільства на прийняття управлінських рішень та їх реалізацію;</w:t>
      </w:r>
    </w:p>
    <w:p>
      <w:pPr>
        <w:pStyle w:val="Rvps2"/>
        <w:numPr>
          <w:ilvl w:val="0"/>
          <w:numId w:val="2"/>
        </w:numPr>
        <w:shd w:val="clear" w:color="auto" w:fill="FFFFFF"/>
        <w:tabs>
          <w:tab w:val="left" w:pos="709" w:leader="none"/>
        </w:tabs>
        <w:spacing w:lineRule="auto" w:line="235" w:before="0" w:after="0"/>
        <w:jc w:val="both"/>
        <w:textAlignment w:val="baseline"/>
        <w:rPr/>
      </w:pPr>
      <w:r>
        <w:rPr>
          <w:color w:val="000000"/>
          <w:sz w:val="28"/>
          <w:szCs w:val="28"/>
          <w:lang w:val="uk-UA"/>
        </w:rPr>
        <w:t>створення умов для проведення громадських експертиз діяльності органів виконавчої влади, органів місцевого самоврядування, громадських антикорупційних експертиз проектів нормативно-правових актів та забезпечення врахування їх рекомендацій;</w:t>
      </w:r>
    </w:p>
    <w:p>
      <w:pPr>
        <w:pStyle w:val="Rvps2"/>
        <w:numPr>
          <w:ilvl w:val="0"/>
          <w:numId w:val="2"/>
        </w:numPr>
        <w:shd w:val="clear" w:color="auto" w:fill="FFFFFF"/>
        <w:tabs>
          <w:tab w:val="left" w:pos="709" w:leader="none"/>
        </w:tabs>
        <w:spacing w:lineRule="auto" w:line="235" w:before="0" w:after="0"/>
        <w:jc w:val="both"/>
        <w:textAlignment w:val="baseline"/>
        <w:rPr/>
      </w:pPr>
      <w:r>
        <w:rPr>
          <w:color w:val="000000"/>
          <w:sz w:val="28"/>
          <w:szCs w:val="28"/>
          <w:lang w:val="uk-UA"/>
        </w:rPr>
        <w:t>створення системи ресурсного забезпечення сталої діяльності інститутів громадянського суспільства, надання методичної, організаційної підтримки діяльності інститутів громадянського суспільства для підняття рівня їх інституційної, фінансової та кадрової спроможності, сприяння становленню та розвитку мережі інститутів громадянського суспільства у багатоманітності їх форм;</w:t>
      </w:r>
    </w:p>
    <w:p>
      <w:pPr>
        <w:pStyle w:val="Rvps2"/>
        <w:numPr>
          <w:ilvl w:val="0"/>
          <w:numId w:val="2"/>
        </w:numPr>
        <w:shd w:val="clear" w:color="auto" w:fill="FFFFFF"/>
        <w:tabs>
          <w:tab w:val="left" w:pos="709" w:leader="none"/>
        </w:tabs>
        <w:spacing w:lineRule="auto" w:line="235" w:before="0" w:after="0"/>
        <w:jc w:val="both"/>
        <w:textAlignment w:val="baseline"/>
        <w:rPr/>
      </w:pPr>
      <w:r>
        <w:rPr>
          <w:color w:val="000000"/>
          <w:sz w:val="28"/>
          <w:szCs w:val="28"/>
          <w:lang w:val="uk-UA"/>
        </w:rPr>
        <w:t>здійснення методичної підтримки та підвищення організаційної спроможності органів виконавчої влади та органів місцевого самоврядування щодо реалізації процедур залучення громадськості до формування і реалізації державної, регіональної політики;</w:t>
      </w:r>
    </w:p>
    <w:p>
      <w:pPr>
        <w:pStyle w:val="Rvps2"/>
        <w:numPr>
          <w:ilvl w:val="0"/>
          <w:numId w:val="2"/>
        </w:numPr>
        <w:shd w:val="clear" w:color="auto" w:fill="FFFFFF"/>
        <w:tabs>
          <w:tab w:val="left" w:pos="709" w:leader="none"/>
        </w:tabs>
        <w:spacing w:lineRule="auto" w:line="235" w:before="0" w:after="0"/>
        <w:jc w:val="both"/>
        <w:textAlignment w:val="baseline"/>
        <w:rPr/>
      </w:pPr>
      <w:r>
        <w:rPr>
          <w:color w:val="000000"/>
          <w:sz w:val="28"/>
          <w:szCs w:val="28"/>
          <w:lang w:val="uk-UA"/>
        </w:rPr>
        <w:t>пропагування та підтримка позитивних прикладів налагодження ефективної співпраці між органами виконавчої влади, органами місцевого самоврядування та інститутами громадянського суспільства;</w:t>
      </w:r>
    </w:p>
    <w:p>
      <w:pPr>
        <w:pStyle w:val="Rvps2"/>
        <w:numPr>
          <w:ilvl w:val="0"/>
          <w:numId w:val="2"/>
        </w:numPr>
        <w:shd w:val="clear" w:color="auto" w:fill="FFFFFF"/>
        <w:tabs>
          <w:tab w:val="left" w:pos="709" w:leader="none"/>
        </w:tabs>
        <w:spacing w:lineRule="auto" w:line="235" w:before="0" w:after="0"/>
        <w:jc w:val="both"/>
        <w:textAlignment w:val="baseline"/>
        <w:rPr/>
      </w:pPr>
      <w:bookmarkStart w:id="2" w:name="n44"/>
      <w:bookmarkStart w:id="3" w:name="n45"/>
      <w:bookmarkEnd w:id="2"/>
      <w:bookmarkEnd w:id="3"/>
      <w:r>
        <w:rPr>
          <w:color w:val="000000"/>
          <w:sz w:val="28"/>
          <w:szCs w:val="28"/>
        </w:rPr>
        <w:t>сприяння благодійній, волонтерській діяльності, іншим формам громадської активності та громадянської культури</w:t>
      </w:r>
      <w:r>
        <w:rPr>
          <w:color w:val="000000"/>
          <w:sz w:val="28"/>
          <w:szCs w:val="28"/>
          <w:lang w:val="uk-UA"/>
        </w:rPr>
        <w:t>;</w:t>
      </w:r>
    </w:p>
    <w:p>
      <w:pPr>
        <w:pStyle w:val="Rvps2"/>
        <w:numPr>
          <w:ilvl w:val="0"/>
          <w:numId w:val="2"/>
        </w:numPr>
        <w:shd w:val="clear" w:color="auto" w:fill="FFFFFF"/>
        <w:tabs>
          <w:tab w:val="left" w:pos="709" w:leader="none"/>
        </w:tabs>
        <w:spacing w:lineRule="auto" w:line="235" w:before="0" w:after="0"/>
        <w:jc w:val="both"/>
        <w:textAlignment w:val="baseline"/>
        <w:rPr/>
      </w:pPr>
      <w:bookmarkStart w:id="4" w:name="n60"/>
      <w:bookmarkStart w:id="5" w:name="n62"/>
      <w:bookmarkStart w:id="6" w:name="n63"/>
      <w:bookmarkStart w:id="7" w:name="n67"/>
      <w:bookmarkEnd w:id="4"/>
      <w:bookmarkEnd w:id="5"/>
      <w:bookmarkEnd w:id="6"/>
      <w:bookmarkEnd w:id="7"/>
      <w:r>
        <w:rPr>
          <w:color w:val="000000"/>
          <w:sz w:val="28"/>
          <w:szCs w:val="28"/>
          <w:lang w:val="uk-UA"/>
        </w:rPr>
        <w:t>підтримка громадських ініціатив, спрямованих на формування культури гендерної рівності, подолання стереотипів щодо ролі та місця чоловіків і жінок у суспільстві;</w:t>
      </w:r>
    </w:p>
    <w:p>
      <w:pPr>
        <w:pStyle w:val="Rvps2"/>
        <w:numPr>
          <w:ilvl w:val="0"/>
          <w:numId w:val="2"/>
        </w:numPr>
        <w:shd w:val="clear" w:color="auto" w:fill="FFFFFF"/>
        <w:tabs>
          <w:tab w:val="left" w:pos="709" w:leader="none"/>
        </w:tabs>
        <w:spacing w:lineRule="auto" w:line="235" w:before="0" w:after="0"/>
        <w:jc w:val="both"/>
        <w:textAlignment w:val="baseline"/>
        <w:rPr/>
      </w:pPr>
      <w:r>
        <w:rPr>
          <w:color w:val="000000"/>
          <w:sz w:val="28"/>
          <w:szCs w:val="28"/>
          <w:lang w:val="uk-UA"/>
        </w:rPr>
        <w:t>створення належних умов для участі молодих громадян через молодіжні громадські організації та об'єднання у розробленні і реалізації державної молодіжної політики та програм, що стосуються молоді на місцевому рівні.</w:t>
      </w:r>
    </w:p>
    <w:p>
      <w:pPr>
        <w:pStyle w:val="Rvps2"/>
        <w:shd w:val="clear" w:color="auto" w:fill="FFFFFF"/>
        <w:tabs>
          <w:tab w:val="left" w:pos="709" w:leader="none"/>
        </w:tabs>
        <w:spacing w:lineRule="auto" w:line="235" w:before="0" w:after="0"/>
        <w:ind w:left="709" w:firstLine="11"/>
        <w:jc w:val="both"/>
        <w:textAlignment w:val="baseline"/>
        <w:rPr/>
      </w:pPr>
      <w:bookmarkStart w:id="8" w:name="n81"/>
      <w:bookmarkStart w:id="9" w:name="n82"/>
      <w:bookmarkStart w:id="10" w:name="n83"/>
      <w:bookmarkEnd w:id="8"/>
      <w:bookmarkEnd w:id="9"/>
      <w:bookmarkEnd w:id="10"/>
      <w:r>
        <w:rPr>
          <w:color w:val="000000"/>
          <w:sz w:val="28"/>
          <w:szCs w:val="28"/>
        </w:rPr>
        <w:t>розвиток механізмів електронного урядування та електронної демократії;</w:t>
      </w:r>
    </w:p>
    <w:p>
      <w:pPr>
        <w:pStyle w:val="Rvps2"/>
        <w:numPr>
          <w:ilvl w:val="0"/>
          <w:numId w:val="2"/>
        </w:numPr>
        <w:shd w:val="clear" w:color="auto" w:fill="FFFFFF"/>
        <w:tabs>
          <w:tab w:val="left" w:pos="709" w:leader="none"/>
        </w:tabs>
        <w:spacing w:lineRule="auto" w:line="235" w:before="0" w:after="0"/>
        <w:jc w:val="both"/>
        <w:textAlignment w:val="baseline"/>
        <w:rPr/>
      </w:pPr>
      <w:bookmarkStart w:id="11" w:name="n84"/>
      <w:bookmarkStart w:id="12" w:name="n85"/>
      <w:bookmarkEnd w:id="11"/>
      <w:bookmarkEnd w:id="12"/>
      <w:r>
        <w:rPr>
          <w:color w:val="000000"/>
          <w:sz w:val="28"/>
          <w:szCs w:val="28"/>
        </w:rPr>
        <w:t>розвиток механізмів соціального партнерства між владою, бізнесом та інститутами громадянського суспільства;</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sz w:val="28"/>
          <w:szCs w:val="28"/>
        </w:rPr>
        <w:t xml:space="preserve">залучення до вивчення громадської думки, з метою отримання об'єктивної та достовірної інформації та для досягнення інших </w:t>
      </w:r>
      <w:r>
        <w:rPr>
          <w:color w:val="00000A"/>
          <w:sz w:val="28"/>
          <w:szCs w:val="28"/>
        </w:rPr>
        <w:t>статутних завдань</w:t>
      </w:r>
      <w:r>
        <w:rPr>
          <w:sz w:val="28"/>
          <w:szCs w:val="28"/>
        </w:rPr>
        <w:t xml:space="preserve"> дослідницьких організацій, фахівців, експертів, консультантів, інститутів громадянського суспільства тощо. Проведення ними фахових, наукових, соціологічних досліджень, спостережень, експрес-аналізу пропозицій різних соціальних груп населення та зацікавлених сторін тощо</w:t>
      </w:r>
      <w:r>
        <w:rPr>
          <w:color w:val="00000A"/>
          <w:sz w:val="28"/>
          <w:szCs w:val="28"/>
        </w:rPr>
        <w:t>;</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участь в організації відзначення загальнодержавних і релігійних свят, визначних подій, загальноміських заходів;</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п</w:t>
      </w:r>
      <w:r>
        <w:rPr>
          <w:sz w:val="28"/>
          <w:szCs w:val="28"/>
        </w:rPr>
        <w:t>роведення іміджевих акцій та конкурсів направлених на поширення впізнання логотипу міста та закріплення позитивного іміджу м. Дніпро. Проведення міських інформаційних іміджевих кампаній;</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sz w:val="28"/>
          <w:szCs w:val="28"/>
        </w:rPr>
        <w:t xml:space="preserve">оновлення та підготовка іміджевих презентаційних матеріалів, брендованої продукції міста Дніпра (календарі, брошури, пакети, сувенірна продукція, чашки тощо ), поширення під час проведення офіційних, презентаційцних заходів, інших урочистих подій, </w:t>
      </w:r>
      <w:r>
        <w:rPr>
          <w:color w:val="00000A"/>
          <w:sz w:val="28"/>
          <w:szCs w:val="28"/>
        </w:rPr>
        <w:t>з урахуванням подальшого вирішення питання щодо об’єктів інтелектуальної власності територіальної громади м. Дніпро;</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взаємодія з навчальними закладами щодо організації та проведення тренінгів і навчань для представників засобів масової інформації, інститутів громадянського суспільства тощо;</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інші види освіти (організація та/або проведення Підприємством навчання, підготовки, стажування працівників Підприємства, інших установ та організацій, членів інститутів громадянського суспільства та громадян у рамках спеціалізованих шкіл, семінарів, конференцій тощо відповідно до чинного законодавства);</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 xml:space="preserve">видавнича діяльність, публікація наукових та методичних результатів діяльності Підприємства, видання буклетів, брошур, листівок, </w:t>
      </w:r>
      <w:r>
        <w:rPr>
          <w:sz w:val="28"/>
          <w:szCs w:val="28"/>
        </w:rPr>
        <w:t>флаєрів, пам'яток, довідників</w:t>
      </w:r>
      <w:r>
        <w:rPr>
          <w:color w:val="00000A"/>
          <w:sz w:val="28"/>
          <w:szCs w:val="28"/>
        </w:rPr>
        <w:t xml:space="preserve"> та іншої друкованої продукції з питань, що стосуються сфери діяльності Підприємства;</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виконання державного замовлення, державних, регіональних та місцевих цільових програм за рахунок коштів Державного бюджету України та/або місцевих бюджетів відповідно до законодавства;</w:t>
      </w:r>
    </w:p>
    <w:p>
      <w:pPr>
        <w:pStyle w:val="21"/>
        <w:numPr>
          <w:ilvl w:val="0"/>
          <w:numId w:val="2"/>
        </w:numPr>
        <w:shd w:val="clear" w:color="auto" w:fill="auto"/>
        <w:tabs>
          <w:tab w:val="left" w:pos="709" w:leader="none"/>
          <w:tab w:val="left" w:pos="1002" w:leader="none"/>
        </w:tabs>
        <w:suppressAutoHyphens w:val="true"/>
        <w:spacing w:lineRule="auto" w:line="235" w:before="0" w:after="0"/>
        <w:rPr/>
      </w:pPr>
      <w:r>
        <w:rPr>
          <w:color w:val="00000A"/>
          <w:sz w:val="28"/>
          <w:szCs w:val="28"/>
        </w:rPr>
        <w:t>сприяння заснуванню та/або заснування засобів масової інформації, у т.ч. друкованих ЗМІ з метою забезпечення діяльності Підприємства;</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сприяння виготовленню і розповсюдженню телерадіопередач та іншої аудіо- та відеопродукції, спрямованої на забезпечення максимальної інформованості громадян України та задоволення їх соціально-економічних та культурологічних потреб;</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підготовка та проведення або участь у ярмарках, виставках, переглядах, конкурсах, творчих зустрічах, фестивалях, торгах, аукціонах, лотереях, конференціях, семінарах та інших науково-технічних і громадсько-культурних заходах, пов’язаних зі сферою діяльності Підприємства;</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розробка та розміщення соціальної реклами у ЗМІ, мережі Інтернет та на зовнішніх носіях (борди, сіті-лайти, громадський транспорт, вокзали, аеропорти, зупинки громадського транспорту тощо);</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посередництво в розміщенні реклами в засобах масової інформації та мережі Інтернет;</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розробка та дослідження інформаційних систем та технологій;</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розробка та впровадження належної платформи для обміну інформацією, управлінськими та маркетинговими навичками на базі сучасних інформаційних технологій (програмне забезпечення, веб- ресурси Інтернету тощо) відповідно до чинного законодавства;</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взаємодія з інститутами громадянського суспільства України, державними структурами, фондами і громадськими організаціями країн Євросоюзу та світу в рамках реалізації проектів та ділового співробітництва відповідно до чинного законодавства;</w:t>
      </w:r>
    </w:p>
    <w:p>
      <w:pPr>
        <w:pStyle w:val="Standard"/>
        <w:numPr>
          <w:ilvl w:val="0"/>
          <w:numId w:val="2"/>
        </w:numPr>
        <w:tabs>
          <w:tab w:val="left" w:pos="709" w:leader="none"/>
        </w:tabs>
        <w:spacing w:lineRule="auto" w:line="235"/>
        <w:jc w:val="both"/>
        <w:rPr/>
      </w:pPr>
      <w:r>
        <w:rPr>
          <w:rFonts w:cs="Times New Roman" w:ascii="Times New Roman" w:hAnsi="Times New Roman"/>
          <w:color w:val="000000"/>
          <w:sz w:val="28"/>
          <w:szCs w:val="28"/>
          <w:lang w:eastAsia="ru-RU"/>
        </w:rPr>
        <w:t>проведення зовнішньоекономічної діяльності у порядку, встановленому законодавством;</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надання представницьких, консалтингових, маркетингових та посередницьких послуг відповідно до чинного законодавства;</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неспеціалізована оптова торгівля;</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інші види роздрібної торгівлі поза магазинами;</w:t>
      </w:r>
    </w:p>
    <w:p>
      <w:pPr>
        <w:pStyle w:val="Standard"/>
        <w:numPr>
          <w:ilvl w:val="0"/>
          <w:numId w:val="2"/>
        </w:numPr>
        <w:tabs>
          <w:tab w:val="left" w:pos="709" w:leader="none"/>
        </w:tabs>
        <w:spacing w:lineRule="auto" w:line="235"/>
        <w:jc w:val="both"/>
        <w:rPr/>
      </w:pPr>
      <w:r>
        <w:rPr>
          <w:rFonts w:cs="Times New Roman" w:ascii="Times New Roman" w:hAnsi="Times New Roman"/>
          <w:sz w:val="28"/>
          <w:szCs w:val="28"/>
        </w:rPr>
        <w:t>інші види діяльності, не заборонені чинним законодавством України.</w:t>
      </w:r>
    </w:p>
    <w:p>
      <w:pPr>
        <w:pStyle w:val="Normal"/>
        <w:rPr>
          <w:rFonts w:ascii="Times New Roman" w:hAnsi="Times New Roman" w:cs="Times New Roman"/>
          <w:b/>
          <w:b/>
          <w:sz w:val="28"/>
          <w:szCs w:val="24"/>
        </w:rPr>
      </w:pPr>
      <w:r>
        <w:rPr>
          <w:rFonts w:cs="Times New Roman" w:ascii="Times New Roman" w:hAnsi="Times New Roman"/>
          <w:b/>
          <w:sz w:val="28"/>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280" w:leader="none"/>
        </w:tabs>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2280"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280" w:leader="none"/>
        </w:tabs>
        <w:spacing w:before="0" w:after="160"/>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08"/>
        </w:tabs>
        <w:ind w:left="720" w:hanging="360"/>
      </w:pPr>
      <w:rPr>
        <w:rFonts w:ascii="Times New Roman" w:hAnsi="Times New Roman" w:cs="Times New Roman" w:hint="default"/>
        <w:smallCaps w:val="false"/>
        <w:caps w:val="false"/>
        <w:dstrike w:val="false"/>
        <w:strike w:val="false"/>
        <w:sz w:val="26"/>
        <w:spacing w:val="0"/>
        <w:i w:val="false"/>
        <w:u w:val="none"/>
        <w:b w:val="false"/>
        <w:szCs w:val="28"/>
        <w:w w:val="100"/>
        <w:rFonts w:cs="Times New Roman"/>
        <w:color w:val="000000"/>
        <w:lang w:val="uk-UA" w:eastAsia="ru-RU"/>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uk-UA" w:eastAsia="en-US" w:bidi="ar-SA"/>
    </w:rPr>
  </w:style>
  <w:style w:type="character" w:styleId="DefaultParagraphFont" w:default="1">
    <w:name w:val="Default Paragraph Font"/>
    <w:uiPriority w:val="1"/>
    <w:semiHidden/>
    <w:unhideWhenUsed/>
    <w:qFormat/>
    <w:rPr/>
  </w:style>
  <w:style w:type="character" w:styleId="2" w:customStyle="1">
    <w:name w:val="Основний текст (2)"/>
    <w:qFormat/>
    <w:locked/>
    <w:rsid w:val="00ce5e35"/>
    <w:rPr>
      <w:rFonts w:ascii="Times New Roman" w:hAnsi="Times New Roman" w:cs="Times New Roman"/>
      <w:color w:val="000000"/>
      <w:spacing w:val="0"/>
      <w:w w:val="100"/>
      <w:sz w:val="26"/>
      <w:szCs w:val="26"/>
      <w:u w:val="single"/>
      <w:lang w:val="uk-UA" w:eastAsia="uk-UA"/>
    </w:rPr>
  </w:style>
  <w:style w:type="character" w:styleId="Style14">
    <w:name w:val="Гіперпосилання"/>
    <w:basedOn w:val="DefaultParagraphFont"/>
    <w:uiPriority w:val="99"/>
    <w:unhideWhenUsed/>
    <w:rsid w:val="00af6a04"/>
    <w:rPr>
      <w:color w:val="0563C1" w:themeColor="hyperlink"/>
      <w:u w:val="single"/>
    </w:rPr>
  </w:style>
  <w:style w:type="character" w:styleId="Appleconvertedspace" w:customStyle="1">
    <w:name w:val="apple-converted-space"/>
    <w:qFormat/>
    <w:rsid w:val="00af6a04"/>
    <w:rPr>
      <w:rFonts w:cs="Times New Roman"/>
    </w:rPr>
  </w:style>
  <w:style w:type="character" w:styleId="Style15" w:customStyle="1">
    <w:name w:val="Текст выноски Знак"/>
    <w:basedOn w:val="DefaultParagraphFont"/>
    <w:link w:val="a6"/>
    <w:uiPriority w:val="99"/>
    <w:semiHidden/>
    <w:qFormat/>
    <w:rsid w:val="0081326f"/>
    <w:rPr>
      <w:rFonts w:ascii="Segoe UI" w:hAnsi="Segoe UI" w:cs="Segoe UI"/>
      <w:sz w:val="18"/>
      <w:szCs w:val="18"/>
    </w:rPr>
  </w:style>
  <w:style w:type="character" w:styleId="ListLabel1">
    <w:name w:val="ListLabel 1"/>
    <w:qFormat/>
    <w:rPr>
      <w:rFonts w:ascii="Times New Roman" w:hAnsi="Times New Roman" w:eastAsia="Arial Unicode MS"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uk-UA" w:eastAsia="uk-UA" w:bidi="uk-UA"/>
    </w:rPr>
  </w:style>
  <w:style w:type="character" w:styleId="ListLabel6">
    <w:name w:val="ListLabel 6"/>
    <w:qFormat/>
    <w:rPr>
      <w:color w:val="000000"/>
    </w:rPr>
  </w:style>
  <w:style w:type="character" w:styleId="ListLabel7">
    <w:name w:val="ListLabel 7"/>
    <w:qFormat/>
    <w:rPr>
      <w:rFonts w:cs="Times New Roman"/>
      <w:b w:val="false"/>
      <w:i w:val="false"/>
      <w:caps w:val="false"/>
      <w:smallCaps w:val="false"/>
      <w:strike w:val="false"/>
      <w:dstrike w:val="false"/>
      <w:color w:val="000000"/>
      <w:spacing w:val="0"/>
      <w:w w:val="100"/>
      <w:sz w:val="26"/>
      <w:szCs w:val="28"/>
      <w:u w:val="none"/>
      <w:lang w:val="uk-UA" w:eastAsia="ru-RU"/>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sz w:val="28"/>
      <w:szCs w:val="28"/>
    </w:rPr>
  </w:style>
  <w:style w:type="character" w:styleId="ListLabel17">
    <w:name w:val="ListLabel 17"/>
    <w:qFormat/>
    <w:rPr>
      <w:rFonts w:cs="Times New Roman"/>
      <w:sz w:val="28"/>
      <w:szCs w:val="28"/>
    </w:rPr>
  </w:style>
  <w:style w:type="character" w:styleId="ListLabel18">
    <w:name w:val="ListLabel 18"/>
    <w:qFormat/>
    <w:rPr>
      <w:rFonts w:cs="Times New Roman"/>
      <w:sz w:val="28"/>
      <w:szCs w:val="28"/>
    </w:rPr>
  </w:style>
  <w:style w:type="character" w:styleId="ListLabel19">
    <w:name w:val="ListLabel 19"/>
    <w:qFormat/>
    <w:rPr>
      <w:rFonts w:cs="Times New Roman"/>
      <w:sz w:val="28"/>
      <w:szCs w:val="28"/>
    </w:rPr>
  </w:style>
  <w:style w:type="character" w:styleId="ListLabel20">
    <w:name w:val="ListLabel 20"/>
    <w:qFormat/>
    <w:rPr>
      <w:rFonts w:cs="Times New Roman"/>
      <w:sz w:val="28"/>
      <w:szCs w:val="28"/>
    </w:rPr>
  </w:style>
  <w:style w:type="character" w:styleId="ListLabel21">
    <w:name w:val="ListLabel 21"/>
    <w:qFormat/>
    <w:rPr>
      <w:rFonts w:cs="Times New Roman"/>
      <w:sz w:val="28"/>
      <w:szCs w:val="28"/>
    </w:rPr>
  </w:style>
  <w:style w:type="character" w:styleId="ListLabel22">
    <w:name w:val="ListLabel 22"/>
    <w:qFormat/>
    <w:rPr>
      <w:rFonts w:cs="Times New Roman"/>
      <w:sz w:val="28"/>
      <w:szCs w:val="28"/>
    </w:rPr>
  </w:style>
  <w:style w:type="character" w:styleId="ListLabel23">
    <w:name w:val="ListLabel 23"/>
    <w:qFormat/>
    <w:rPr>
      <w:rFonts w:cs="Times New Roman"/>
      <w:sz w:val="28"/>
      <w:szCs w:val="28"/>
    </w:rPr>
  </w:style>
  <w:style w:type="character" w:styleId="ListLabel24">
    <w:name w:val="ListLabel 24"/>
    <w:qFormat/>
    <w:rPr>
      <w:rFonts w:cs="Times New Roman"/>
      <w:sz w:val="28"/>
      <w:szCs w:val="28"/>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21" w:customStyle="1">
    <w:name w:val="Основний текст (2)1"/>
    <w:basedOn w:val="Normal"/>
    <w:qFormat/>
    <w:rsid w:val="00ce5e35"/>
    <w:pPr>
      <w:shd w:val="clear" w:color="auto" w:fill="FFFFFF"/>
      <w:spacing w:lineRule="exact" w:line="322" w:before="240" w:after="600"/>
      <w:ind w:hanging="820"/>
      <w:jc w:val="both"/>
    </w:pPr>
    <w:rPr>
      <w:rFonts w:ascii="Times New Roman" w:hAnsi="Times New Roman" w:eastAsia="Arial Unicode MS" w:cs="Times New Roman"/>
      <w:color w:val="000000"/>
      <w:sz w:val="26"/>
      <w:szCs w:val="26"/>
      <w:lang w:eastAsia="uk-UA"/>
    </w:rPr>
  </w:style>
  <w:style w:type="paragraph" w:styleId="ListParagraph">
    <w:name w:val="List Paragraph"/>
    <w:basedOn w:val="Normal"/>
    <w:uiPriority w:val="34"/>
    <w:qFormat/>
    <w:rsid w:val="00ce5e35"/>
    <w:pPr>
      <w:spacing w:before="0" w:after="160"/>
      <w:ind w:left="720" w:hanging="0"/>
      <w:contextualSpacing/>
    </w:pPr>
    <w:rPr/>
  </w:style>
  <w:style w:type="paragraph" w:styleId="Standard" w:customStyle="1">
    <w:name w:val="Standard"/>
    <w:qFormat/>
    <w:rsid w:val="00ce5e35"/>
    <w:pPr>
      <w:widowControl/>
      <w:suppressAutoHyphens w:val="true"/>
      <w:bidi w:val="0"/>
      <w:spacing w:lineRule="auto" w:line="240" w:before="0" w:after="0"/>
      <w:jc w:val="left"/>
      <w:textAlignment w:val="baseline"/>
    </w:pPr>
    <w:rPr>
      <w:rFonts w:ascii="Liberation Serif" w:hAnsi="Liberation Serif" w:eastAsia="Times New Roman" w:cs="FreeSans"/>
      <w:color w:val="auto"/>
      <w:sz w:val="24"/>
      <w:szCs w:val="24"/>
      <w:lang w:eastAsia="zh-CN" w:bidi="hi-IN" w:val="uk-UA"/>
    </w:rPr>
  </w:style>
  <w:style w:type="paragraph" w:styleId="NoSpacing">
    <w:name w:val="No Spacing"/>
    <w:uiPriority w:val="1"/>
    <w:qFormat/>
    <w:rsid w:val="00ce5e3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customStyle="1">
    <w:name w:val="Абзац списка1"/>
    <w:basedOn w:val="Standard"/>
    <w:qFormat/>
    <w:rsid w:val="00af6a04"/>
    <w:pPr>
      <w:spacing w:before="0" w:after="160"/>
      <w:ind w:left="720" w:hanging="0"/>
    </w:pPr>
    <w:rPr/>
  </w:style>
  <w:style w:type="paragraph" w:styleId="Rvps2" w:customStyle="1">
    <w:name w:val="rvps2"/>
    <w:basedOn w:val="Normal"/>
    <w:qFormat/>
    <w:rsid w:val="00af6a04"/>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BalloonText">
    <w:name w:val="Balloon Text"/>
    <w:basedOn w:val="Normal"/>
    <w:link w:val="a7"/>
    <w:uiPriority w:val="99"/>
    <w:semiHidden/>
    <w:unhideWhenUsed/>
    <w:qFormat/>
    <w:rsid w:val="0081326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LibreOffice/5.2.7.2$Windows_x86 LibreOffice_project/2b7f1e640c46ceb28adf43ee075a6e8b8439ed10</Application>
  <Pages>4</Pages>
  <Words>1153</Words>
  <Characters>8905</Characters>
  <CharactersWithSpaces>9966</CharactersWithSpaces>
  <Paragraphs>52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2017-05-12T09:26:00Z</dcterms:created>
  <dc:creator>User</dc:creator>
  <dc:description/>
  <dc:language>uk-UA</dc:language>
  <cp:lastModifiedBy/>
  <cp:lastPrinted>2017-05-11T13:48:00Z</cp:lastPrinted>
  <dcterms:modified xsi:type="dcterms:W3CDTF">2017-06-08T15:22:15Z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